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Hoelscher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Hoelscher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Carrisa Hoelscher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shortcomings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Carrisa Hoelscher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ambiguous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Hoelscher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Carrisa Hoelscher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ambiguity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Hoelscher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encompasses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Carrisa Hoelscher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Hoelscher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836-6397.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ksmu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May 18, 2021 (Completed  12/09/20)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09,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"https://www.rev.com/transcript-editor/Edit?token=qsXHR3yk81MZfl1ZjbTrNoFnkR-Er05LGm77WR2Fw1TLFECie76kwHYB5nK9Q836am9b9z9RlDz87fXy-lz6KAOPYwo&amp;loadFrom=DocumentHeaderDeepLink"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