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unequivocally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anorexia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centerfolds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Bozak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oxymoron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(417)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6397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March 23, 2021_mixdown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"https://www.rev.com/transcript-editor/Edit?token=nKc_jZgfnAfrrorRG-O5rQNBrIWhC2ZdyKomZA3xzvstFhJep1yPciYMqQwthiWoKIBQO-8DP3rCXFrPmcJ37AhJNyA&amp;loadFrom=DocumentHeaderDeepLink"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