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Elizabeth K...: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Elizabeth K...: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Elizabeth K...: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Elizabeth K...: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(417)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836-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6397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Feb 16, 2021 (Completed  11/16/20)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16,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"https://www.rev.com/transcript-editor/Edit?token=eHE5nC0PQGJq58sX2zEIQpwW211nCbxB56i8TcM1P2QLgqP2oSR55ic2BwqVMqn_10mdMWSt-VzyHbXe5DWOedt6UC0&amp;loadFrom=DocumentHeaderDeepLink"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